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6"/>
      </w:tblGrid>
      <w:tr>
        <w:tc>
          <w:tcPr>
            <w:tcW w:w="3256" w:type="dxa"/>
          </w:tcPr>
          <w:p>
            <w:pPr>
              <w:spacing w:before="0" w:after="0" w:line="240" w:lineRule="auto"/>
              <w:ind w:firstLine="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UỶ BAN NHÂN DÂN</w:t>
            </w:r>
          </w:p>
          <w:p>
            <w:pPr>
              <w:spacing w:before="0" w:after="0" w:line="240" w:lineRule="auto"/>
              <w:ind w:firstLine="0"/>
              <w:rPr>
                <w:rFonts w:ascii="Times New Roman" w:eastAsia="Times New Roman" w:hAnsi="Times New Roman" w:cs="Times New Roman"/>
                <w:b/>
                <w:bCs/>
                <w:color w:val="000000"/>
                <w:sz w:val="26"/>
                <w:szCs w:val="26"/>
              </w:rPr>
            </w:pPr>
            <w:r>
              <w:rPr>
                <w:rFonts w:ascii="Times New Roman" w:eastAsia="Times New Roman" w:hAnsi="Times New Roman" w:cs="Times New Roman"/>
                <w:noProof/>
                <w:color w:val="000000"/>
                <w:sz w:val="28"/>
                <w:szCs w:val="28"/>
                <w14:ligatures w14:val="standardContextual"/>
              </w:rPr>
              <mc:AlternateContent>
                <mc:Choice Requires="wps">
                  <w:drawing>
                    <wp:anchor distT="0" distB="0" distL="114300" distR="114300" simplePos="0" relativeHeight="251657216" behindDoc="0" locked="0" layoutInCell="1" allowOverlap="1">
                      <wp:simplePos x="0" y="0"/>
                      <wp:positionH relativeFrom="column">
                        <wp:posOffset>584835</wp:posOffset>
                      </wp:positionH>
                      <wp:positionV relativeFrom="paragraph">
                        <wp:posOffset>187325</wp:posOffset>
                      </wp:positionV>
                      <wp:extent cx="769620" cy="0"/>
                      <wp:effectExtent l="0" t="0" r="30480" b="19050"/>
                      <wp:wrapNone/>
                      <wp:docPr id="1228002898" name="Straight Connector 1"/>
                      <wp:cNvGraphicFramePr/>
                      <a:graphic xmlns:a="http://schemas.openxmlformats.org/drawingml/2006/main">
                        <a:graphicData uri="http://schemas.microsoft.com/office/word/2010/wordprocessingShape">
                          <wps:wsp>
                            <wps:cNvCnPr/>
                            <wps:spPr>
                              <a:xfrm>
                                <a:off x="0" y="0"/>
                                <a:ext cx="7696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traight Connector 1"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05pt,14.75pt" to="106.6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" strokecolor="black [3040]"/>
                  </w:pict>
                </mc:Fallback>
              </mc:AlternateContent>
            </w:r>
            <w:r>
              <w:rPr>
                <w:rFonts w:ascii="Times New Roman" w:eastAsia="Times New Roman" w:hAnsi="Times New Roman" w:cs="Times New Roman"/>
                <w:b/>
                <w:bCs/>
                <w:color w:val="000000"/>
                <w:sz w:val="26"/>
                <w:szCs w:val="26"/>
              </w:rPr>
              <w:t>XÃ HƯƠNG PHỐ</w:t>
            </w:r>
          </w:p>
        </w:tc>
        <w:tc>
          <w:tcPr>
            <w:tcW w:w="5806" w:type="dxa"/>
          </w:tcPr>
          <w:p>
            <w:pPr>
              <w:spacing w:before="0" w:after="0" w:line="240" w:lineRule="auto"/>
              <w:ind w:firstLine="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CỘNG HOÀ XÃ HỘI CHỦ NGHĨA VIỆT NAM</w:t>
            </w:r>
          </w:p>
          <w:p>
            <w:pPr>
              <w:spacing w:before="0" w:after="0" w:line="240" w:lineRule="auto"/>
              <w:ind w:firstLine="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8"/>
                <w:szCs w:val="28"/>
              </w:rPr>
              <w:t>Độc lập - Tự do - Hạnh phúc</w:t>
            </w:r>
          </w:p>
        </w:tc>
      </w:tr>
      <w:tr>
        <w:tc>
          <w:tcPr>
            <w:tcW w:w="3256" w:type="dxa"/>
          </w:tcPr>
          <w:p>
            <w:pPr>
              <w:spacing w:before="360" w:after="0" w:line="240" w:lineRule="auto"/>
              <w:ind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Số:        /2026/QĐ-UBND</w:t>
            </w:r>
          </w:p>
        </w:tc>
        <w:tc>
          <w:tcPr>
            <w:tcW w:w="5806" w:type="dxa"/>
          </w:tcPr>
          <w:p>
            <w:pPr>
              <w:spacing w:before="360" w:after="0" w:line="240" w:lineRule="auto"/>
              <w:ind w:firstLine="0"/>
              <w:rPr>
                <w:rFonts w:ascii="Times New Roman" w:eastAsia="Times New Roman" w:hAnsi="Times New Roman" w:cs="Times New Roman"/>
                <w:i/>
                <w:color w:val="000000"/>
                <w:sz w:val="28"/>
                <w:szCs w:val="28"/>
              </w:rPr>
            </w:pPr>
            <w:r>
              <w:rPr>
                <w:rFonts w:ascii="Times New Roman" w:eastAsia="Times New Roman" w:hAnsi="Times New Roman" w:cs="Times New Roman"/>
                <w:i/>
                <w:noProof/>
                <w:color w:val="000000"/>
                <w:sz w:val="28"/>
                <w:szCs w:val="28"/>
                <w14:ligatures w14:val="standardContextual"/>
              </w:rPr>
              <mc:AlternateContent>
                <mc:Choice Requires="wps">
                  <w:drawing>
                    <wp:anchor distT="0" distB="0" distL="114300" distR="114300" simplePos="0" relativeHeight="251658240" behindDoc="0" locked="0" layoutInCell="1" allowOverlap="1">
                      <wp:simplePos x="0" y="0"/>
                      <wp:positionH relativeFrom="column">
                        <wp:posOffset>650875</wp:posOffset>
                      </wp:positionH>
                      <wp:positionV relativeFrom="paragraph">
                        <wp:posOffset>5715</wp:posOffset>
                      </wp:positionV>
                      <wp:extent cx="2141220" cy="0"/>
                      <wp:effectExtent l="0" t="0" r="30480" b="19050"/>
                      <wp:wrapNone/>
                      <wp:docPr id="1767722031" name="Straight Connector 2"/>
                      <wp:cNvGraphicFramePr/>
                      <a:graphic xmlns:a="http://schemas.openxmlformats.org/drawingml/2006/main">
                        <a:graphicData uri="http://schemas.microsoft.com/office/word/2010/wordprocessingShape">
                          <wps:wsp>
                            <wps:cNvCnPr/>
                            <wps:spPr>
                              <a:xfrm>
                                <a:off x="0" y="0"/>
                                <a:ext cx="2141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25pt,.45pt" to="219.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" strokecolor="black [3040]"/>
                  </w:pict>
                </mc:Fallback>
              </mc:AlternateContent>
            </w:r>
            <w:r>
              <w:rPr>
                <w:rFonts w:ascii="Times New Roman" w:eastAsia="Times New Roman" w:hAnsi="Times New Roman" w:cs="Times New Roman"/>
                <w:i/>
                <w:color w:val="000000"/>
                <w:sz w:val="28"/>
                <w:szCs w:val="28"/>
              </w:rPr>
              <w:t>Hương Phố, ngày      tháng      năm 2026</w:t>
            </w:r>
          </w:p>
        </w:tc>
      </w:tr>
    </w:tbl>
    <w:tbl>
      <w:tblPr>
        <w:tblStyle w:val="TableGrid"/>
        <w:tblpPr w:leftFromText="180" w:rightFromText="180" w:vertAnchor="text" w:horzAnchor="page" w:tblpX="2221" w:tblpY="181"/>
        <w:tblW w:w="0" w:type="auto"/>
        <w:tblLook w:val="04A0" w:firstRow="1" w:lastRow="0" w:firstColumn="1" w:lastColumn="0" w:noHBand="0" w:noVBand="1"/>
      </w:tblPr>
      <w:tblGrid>
        <w:gridCol w:w="1555"/>
      </w:tblGrid>
      <w:tr>
        <w:tc>
          <w:tcPr>
            <w:tcW w:w="1555" w:type="dxa"/>
          </w:tcPr>
          <w:p>
            <w:pPr>
              <w:spacing w:before="0" w:line="240" w:lineRule="auto"/>
              <w:ind w:firstLine="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DỰ THẢO</w:t>
            </w:r>
          </w:p>
        </w:tc>
      </w:tr>
    </w:tbl>
    <w:p>
      <w:pPr>
        <w:shd w:val="clear" w:color="auto" w:fill="FFFFFF"/>
        <w:spacing w:before="0" w:line="240" w:lineRule="auto"/>
        <w:ind w:firstLine="0"/>
        <w:jc w:val="both"/>
        <w:rPr>
          <w:rFonts w:ascii="Times New Roman" w:eastAsia="Times New Roman" w:hAnsi="Times New Roman" w:cs="Times New Roman"/>
          <w:b/>
          <w:bCs/>
          <w:color w:val="000000"/>
          <w:sz w:val="28"/>
          <w:szCs w:val="28"/>
        </w:rPr>
      </w:pPr>
    </w:p>
    <w:p>
      <w:pPr>
        <w:shd w:val="clear" w:color="auto" w:fill="FFFFFF"/>
        <w:spacing w:before="0" w:line="240" w:lineRule="auto"/>
        <w:ind w:firstLine="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w:t>
      </w:r>
    </w:p>
    <w:p>
      <w:pPr>
        <w:shd w:val="clear" w:color="auto" w:fill="FFFFFF"/>
        <w:spacing w:before="0" w:line="240" w:lineRule="auto"/>
        <w:ind w:firstLine="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QUYẾT ĐỊNH</w:t>
      </w:r>
    </w:p>
    <w:p>
      <w:pPr>
        <w:shd w:val="clear" w:color="auto" w:fill="FFFFFF"/>
        <w:spacing w:before="0" w:line="240" w:lineRule="auto"/>
        <w:ind w:firstLine="0"/>
        <w:rPr>
          <w:rFonts w:ascii="Times New Roman" w:eastAsia="Times New Roman" w:hAnsi="Times New Roman" w:cs="Times New Roman"/>
          <w:b/>
          <w:bCs/>
          <w:color w:val="000000"/>
          <w:spacing w:val="-6"/>
          <w:sz w:val="28"/>
          <w:szCs w:val="28"/>
        </w:rPr>
      </w:pPr>
      <w:r>
        <w:rPr>
          <w:rFonts w:ascii="Times New Roman" w:hAnsi="Times New Roman" w:cs="Times New Roman"/>
          <w:b/>
          <w:bCs/>
          <w:color w:val="000000"/>
          <w:spacing w:val="-6"/>
          <w:sz w:val="28"/>
          <w:szCs w:val="28"/>
        </w:rPr>
        <w:t>Bãi bỏ một số văn bản quy phạm pháp luật do Ủy ban nhân dân xã ban hành</w:t>
      </w:r>
      <w:r>
        <w:rPr>
          <w:rFonts w:ascii="Times New Roman" w:hAnsi="Times New Roman" w:cs="Times New Roman"/>
          <w:spacing w:val="-6"/>
          <w:sz w:val="28"/>
          <w:szCs w:val="28"/>
        </w:rPr>
        <w:t xml:space="preserve"> </w:t>
      </w:r>
    </w:p>
    <w:p>
      <w:pPr>
        <w:shd w:val="clear" w:color="auto" w:fill="FFFFFF"/>
        <w:spacing w:before="0" w:line="240" w:lineRule="auto"/>
        <w:ind w:firstLine="0"/>
        <w:rPr>
          <w:rFonts w:ascii="Times New Roman" w:eastAsia="Times New Roman" w:hAnsi="Times New Roman" w:cs="Times New Roman"/>
          <w:b/>
          <w:bCs/>
          <w:color w:val="000000"/>
          <w:spacing w:val="-6"/>
          <w:sz w:val="28"/>
          <w:szCs w:val="28"/>
        </w:rPr>
      </w:pPr>
    </w:p>
    <w:p>
      <w:pPr>
        <w:spacing w:before="0" w:line="340" w:lineRule="exact"/>
        <w:jc w:val="both"/>
        <w:rPr>
          <w:rFonts w:ascii="Times New Roman" w:hAnsi="Times New Roman" w:cs="Times New Roman"/>
          <w:b/>
          <w:bCs/>
          <w:i/>
          <w:sz w:val="28"/>
          <w:szCs w:val="28"/>
        </w:rPr>
      </w:pPr>
      <w:r>
        <w:rPr>
          <w:rFonts w:ascii="Times New Roman" w:hAnsi="Times New Roman" w:cs="Times New Roman"/>
          <w:i/>
          <w:sz w:val="28"/>
          <w:szCs w:val="28"/>
        </w:rPr>
        <w:t>Căn cứ Luật Tổ chức chính quyền địa phương số 72/2025/QH15</w:t>
      </w:r>
      <w:r>
        <w:rPr>
          <w:rFonts w:ascii="Times New Roman" w:hAnsi="Times New Roman" w:cs="Times New Roman"/>
          <w:i/>
          <w:color w:val="000000"/>
          <w:sz w:val="28"/>
          <w:szCs w:val="28"/>
        </w:rPr>
        <w:t>;</w:t>
      </w:r>
    </w:p>
    <w:p>
      <w:pPr>
        <w:spacing w:before="0" w:line="340" w:lineRule="exact"/>
        <w:jc w:val="both"/>
        <w:rPr>
          <w:rFonts w:ascii="Times New Roman" w:hAnsi="Times New Roman" w:cs="Times New Roman"/>
          <w:b/>
          <w:bCs/>
          <w:i/>
          <w:sz w:val="28"/>
          <w:szCs w:val="28"/>
        </w:rPr>
      </w:pPr>
      <w:r>
        <w:rPr>
          <w:rFonts w:ascii="Times New Roman" w:eastAsia="Times New Roman" w:hAnsi="Times New Roman" w:cs="Times New Roman"/>
          <w:i/>
          <w:iCs/>
          <w:color w:val="000000"/>
          <w:sz w:val="28"/>
          <w:szCs w:val="28"/>
        </w:rPr>
        <w:t xml:space="preserve">Căn cứ </w:t>
      </w:r>
      <w:r>
        <w:rPr>
          <w:rFonts w:ascii="Times New Roman" w:hAnsi="Times New Roman" w:cs="Times New Roman"/>
          <w:i/>
          <w:sz w:val="28"/>
          <w:szCs w:val="28"/>
        </w:rPr>
        <w:t xml:space="preserve">Luật Ban hành văn bản quy phạm pháp luật số 64/2025/QH15, được sửa đổi, bổ sung bởi Luật số 87/2025/QH15; </w:t>
      </w:r>
    </w:p>
    <w:p>
      <w:pPr>
        <w:spacing w:before="0" w:line="340" w:lineRule="exact"/>
        <w:jc w:val="both"/>
        <w:rPr>
          <w:rFonts w:ascii="Times New Roman Italic" w:hAnsi="Times New Roman Italic" w:cs="Times New Roman"/>
          <w:b/>
          <w:bCs/>
          <w:i/>
          <w:sz w:val="28"/>
          <w:szCs w:val="28"/>
        </w:rPr>
      </w:pPr>
      <w:r>
        <w:rPr>
          <w:rFonts w:ascii="Times New Roman Italic" w:eastAsia="Times New Roman" w:hAnsi="Times New Roman Italic" w:cs="Times New Roman"/>
          <w:i/>
          <w:iCs/>
          <w:color w:val="000000"/>
          <w:sz w:val="28"/>
          <w:szCs w:val="28"/>
        </w:rPr>
        <w:t xml:space="preserve">Căn cứ </w:t>
      </w:r>
      <w:r>
        <w:rPr>
          <w:rFonts w:ascii="Times New Roman Italic" w:hAnsi="Times New Roman Italic" w:cs="Times New Roman"/>
          <w:i/>
          <w:iCs/>
          <w:color w:val="000000"/>
          <w:sz w:val="28"/>
          <w:szCs w:val="28"/>
        </w:rPr>
        <w:t>Nghị quyết số 1665/NQ-UBTVQH15 ngày 16/6/2025 của Ủy ban Thường vụ Quốc hội về việc sắp xếp đơn vị hành chính cấp xã của tỉnh Hà Tĩnh năm 2025;</w:t>
      </w:r>
      <w:r>
        <w:rPr>
          <w:rFonts w:ascii="Times New Roman Italic" w:hAnsi="Times New Roman Italic" w:cs="Times New Roman"/>
          <w:sz w:val="28"/>
          <w:szCs w:val="28"/>
        </w:rPr>
        <w:t xml:space="preserve"> </w:t>
      </w:r>
    </w:p>
    <w:p>
      <w:pPr>
        <w:spacing w:before="0" w:line="340" w:lineRule="exact"/>
        <w:jc w:val="both"/>
        <w:rPr>
          <w:rFonts w:ascii="Times New Roman" w:hAnsi="Times New Roman" w:cs="Times New Roman"/>
          <w:b/>
          <w:bCs/>
          <w:i/>
          <w:sz w:val="28"/>
          <w:szCs w:val="28"/>
        </w:rPr>
      </w:pPr>
      <w:r>
        <w:rPr>
          <w:rFonts w:ascii="Times New Roman" w:eastAsia="Times New Roman" w:hAnsi="Times New Roman" w:cs="Times New Roman"/>
          <w:i/>
          <w:iCs/>
          <w:color w:val="000000"/>
          <w:sz w:val="28"/>
          <w:szCs w:val="28"/>
        </w:rPr>
        <w:t xml:space="preserve">Căn cứ Nghị định số 78/2025/NĐ-CP ngày 01/4/2025 của Chính phủ quy định chi tiết một số điều và biện pháp để tổ chức, hướng dẫn thi hành Luật Ban hành văn bản quy phạm pháp luật, </w:t>
      </w:r>
      <w:r>
        <w:rPr>
          <w:rFonts w:ascii="Times New Roman" w:hAnsi="Times New Roman" w:cs="Times New Roman"/>
          <w:i/>
          <w:sz w:val="28"/>
          <w:szCs w:val="28"/>
        </w:rPr>
        <w:t xml:space="preserve">được sửa đổi, bổ sung bởi </w:t>
      </w:r>
      <w:r>
        <w:rPr>
          <w:rFonts w:ascii="Times New Roman" w:eastAsia="Times New Roman" w:hAnsi="Times New Roman" w:cs="Times New Roman"/>
          <w:i/>
          <w:iCs/>
          <w:color w:val="000000"/>
          <w:sz w:val="28"/>
          <w:szCs w:val="28"/>
        </w:rPr>
        <w:t>Nghị định số 187/2025/NĐ-CP;</w:t>
      </w:r>
    </w:p>
    <w:p>
      <w:pPr>
        <w:spacing w:before="0" w:line="340" w:lineRule="exact"/>
        <w:jc w:val="both"/>
        <w:rPr>
          <w:rFonts w:ascii="Times New Roman" w:hAnsi="Times New Roman" w:cs="Times New Roman"/>
          <w:b/>
          <w:bCs/>
          <w:i/>
          <w:sz w:val="28"/>
          <w:szCs w:val="28"/>
        </w:rPr>
      </w:pPr>
      <w:r>
        <w:rPr>
          <w:rFonts w:ascii="Times New Roman" w:eastAsia="Times New Roman" w:hAnsi="Times New Roman" w:cs="Times New Roman"/>
          <w:i/>
          <w:iCs/>
          <w:color w:val="000000"/>
          <w:sz w:val="28"/>
          <w:szCs w:val="28"/>
        </w:rPr>
        <w:t xml:space="preserve">Căn cứ Nghị định số 79/2025/NĐ-CP ngày 01/4/2025 của Chính phủ về kiểm tra, rà soát, hệ thống hóa và xử lý văn bản quy phạm pháp luật, </w:t>
      </w:r>
      <w:r>
        <w:rPr>
          <w:rFonts w:ascii="Times New Roman" w:hAnsi="Times New Roman" w:cs="Times New Roman"/>
          <w:i/>
          <w:sz w:val="28"/>
          <w:szCs w:val="28"/>
        </w:rPr>
        <w:t xml:space="preserve">được sửa đổi, bổ sung bởi </w:t>
      </w:r>
      <w:r>
        <w:rPr>
          <w:rFonts w:ascii="Times New Roman" w:eastAsia="Times New Roman" w:hAnsi="Times New Roman" w:cs="Times New Roman"/>
          <w:i/>
          <w:iCs/>
          <w:color w:val="000000"/>
          <w:sz w:val="28"/>
          <w:szCs w:val="28"/>
        </w:rPr>
        <w:t>Nghị định số 187/2025/NĐ-CP</w:t>
      </w:r>
      <w:bookmarkStart w:id="0" w:name="_GoBack"/>
      <w:bookmarkEnd w:id="0"/>
      <w:r>
        <w:rPr>
          <w:rFonts w:ascii="Times New Roman" w:eastAsia="Times New Roman" w:hAnsi="Times New Roman" w:cs="Times New Roman"/>
          <w:i/>
          <w:iCs/>
          <w:color w:val="000000"/>
          <w:sz w:val="28"/>
          <w:szCs w:val="28"/>
        </w:rPr>
        <w:t>;</w:t>
      </w:r>
    </w:p>
    <w:p>
      <w:pPr>
        <w:spacing w:before="0" w:line="340" w:lineRule="exact"/>
        <w:jc w:val="both"/>
        <w:rPr>
          <w:rFonts w:ascii="Times New Roman" w:hAnsi="Times New Roman" w:cs="Times New Roman"/>
          <w:b/>
          <w:bCs/>
          <w:i/>
          <w:sz w:val="28"/>
          <w:szCs w:val="28"/>
        </w:rPr>
      </w:pPr>
      <w:r>
        <w:rPr>
          <w:rFonts w:ascii="Times New Roman" w:eastAsia="Times New Roman" w:hAnsi="Times New Roman" w:cs="Times New Roman"/>
          <w:i/>
          <w:iCs/>
          <w:color w:val="000000"/>
          <w:sz w:val="28"/>
          <w:szCs w:val="28"/>
        </w:rPr>
        <w:t xml:space="preserve">Căn cứ Nghị định số 150/2025/NĐ-CP ngày 12/6/2025 của Chính phủ quy định tổ chức các cơ quan chuyên môn của UBND tỉnh, thành phố trực thuộc Trung ương và UBND xã, phường, đặc khu thuộc tỉnh, thành phố trực thuộc Trung ương, được sửa đổi, bổ sung bởi Nghị định số 370/2025/NĐ-CP;  </w:t>
      </w:r>
    </w:p>
    <w:p>
      <w:pPr>
        <w:spacing w:before="0" w:line="340" w:lineRule="exact"/>
        <w:jc w:val="both"/>
        <w:rPr>
          <w:rFonts w:ascii="Times New Roman" w:hAnsi="Times New Roman" w:cs="Times New Roman"/>
          <w:b/>
          <w:bCs/>
          <w:i/>
          <w:sz w:val="28"/>
          <w:szCs w:val="28"/>
        </w:rPr>
      </w:pPr>
      <w:r>
        <w:rPr>
          <w:rFonts w:ascii="Times New Roman" w:hAnsi="Times New Roman" w:cs="Times New Roman"/>
          <w:i/>
          <w:iCs/>
          <w:color w:val="000000"/>
          <w:sz w:val="28"/>
          <w:szCs w:val="28"/>
        </w:rPr>
        <w:t xml:space="preserve">Căn cứ Nghị định số </w:t>
      </w:r>
      <w:r>
        <w:rPr>
          <w:rFonts w:ascii="Times New Roman" w:eastAsia="Times New Roman" w:hAnsi="Times New Roman" w:cs="Times New Roman"/>
          <w:i/>
          <w:iCs/>
          <w:color w:val="000000"/>
          <w:sz w:val="28"/>
          <w:szCs w:val="28"/>
        </w:rPr>
        <w:t>315/2025/NĐ-CP ngày 08/12/2025 của Chính phủ</w:t>
      </w:r>
      <w:r>
        <w:rPr>
          <w:rFonts w:ascii="Times New Roman" w:hAnsi="Times New Roman" w:cs="Times New Roman"/>
          <w:i/>
          <w:iCs/>
          <w:color w:val="000000"/>
          <w:sz w:val="28"/>
          <w:szCs w:val="28"/>
        </w:rPr>
        <w:t xml:space="preserve"> ban hành Quy chế làm việc mẫu của Ủy ban nhân dân xã, phường, đặc khu;</w:t>
      </w:r>
      <w:r>
        <w:rPr>
          <w:rFonts w:ascii="Times New Roman" w:hAnsi="Times New Roman" w:cs="Times New Roman"/>
          <w:i/>
          <w:sz w:val="28"/>
          <w:szCs w:val="28"/>
        </w:rPr>
        <w:t xml:space="preserve"> </w:t>
      </w:r>
    </w:p>
    <w:p>
      <w:pPr>
        <w:spacing w:before="0" w:line="340" w:lineRule="exact"/>
        <w:jc w:val="both"/>
        <w:rPr>
          <w:rFonts w:ascii="Times New Roman" w:hAnsi="Times New Roman" w:cs="Times New Roman"/>
          <w:b/>
          <w:bCs/>
          <w:i/>
          <w:sz w:val="28"/>
          <w:szCs w:val="28"/>
        </w:rPr>
      </w:pPr>
      <w:r>
        <w:rPr>
          <w:rFonts w:ascii="Times New Roman" w:hAnsi="Times New Roman" w:cs="Times New Roman"/>
          <w:i/>
          <w:iCs/>
          <w:color w:val="000000"/>
          <w:sz w:val="28"/>
          <w:szCs w:val="28"/>
        </w:rPr>
        <w:t xml:space="preserve">Theo đề nghị của Văn phòng HĐND và UBND tại Tờ trình số    /TTr-VP ngày   /    /2026; ý kiến thẩm định tại Báo cáo thẩm định số    /BC-VP ngày   /  /2026 của Văn phòng HĐND và UBND); </w:t>
      </w:r>
      <w:r>
        <w:rPr>
          <w:rFonts w:ascii="Times New Roman" w:hAnsi="Times New Roman" w:cs="Times New Roman"/>
          <w:i/>
          <w:sz w:val="28"/>
          <w:szCs w:val="28"/>
        </w:rPr>
        <w:t xml:space="preserve">trên cơ sở biểu quyết thống nhất của các Thành viên UBND xã (qua Phiếu biểu quyết); </w:t>
      </w:r>
    </w:p>
    <w:p>
      <w:pPr>
        <w:spacing w:before="0" w:line="340" w:lineRule="exact"/>
        <w:jc w:val="both"/>
        <w:rPr>
          <w:rFonts w:ascii="Times New Roman" w:hAnsi="Times New Roman" w:cs="Times New Roman"/>
          <w:b/>
          <w:bCs/>
          <w:i/>
          <w:sz w:val="28"/>
          <w:szCs w:val="28"/>
        </w:rPr>
      </w:pPr>
      <w:r>
        <w:rPr>
          <w:rFonts w:ascii="Times New Roman" w:hAnsi="Times New Roman" w:cs="Times New Roman"/>
          <w:i/>
          <w:sz w:val="28"/>
          <w:szCs w:val="28"/>
        </w:rPr>
        <w:t xml:space="preserve">Ủy ban nhân dân xã ban hành Quyết định </w:t>
      </w:r>
      <w:r>
        <w:rPr>
          <w:rFonts w:ascii="Times New Roman" w:hAnsi="Times New Roman" w:cs="Times New Roman"/>
          <w:i/>
          <w:iCs/>
          <w:color w:val="000000"/>
          <w:sz w:val="28"/>
          <w:szCs w:val="28"/>
        </w:rPr>
        <w:t>bãi bỏ một số văn bản quy phạm pháp luật do Ủy ban nhân dân xã ban hành.</w:t>
      </w:r>
      <w:r>
        <w:rPr>
          <w:rFonts w:ascii="Times New Roman" w:hAnsi="Times New Roman" w:cs="Times New Roman"/>
          <w:i/>
          <w:sz w:val="28"/>
          <w:szCs w:val="28"/>
        </w:rPr>
        <w:t xml:space="preserve"> </w:t>
      </w:r>
    </w:p>
    <w:p>
      <w:pPr>
        <w:spacing w:before="0" w:line="340" w:lineRule="exact"/>
        <w:jc w:val="both"/>
        <w:rPr>
          <w:rFonts w:ascii="Times New Roman" w:hAnsi="Times New Roman" w:cs="Times New Roman"/>
          <w:b/>
          <w:bCs/>
          <w:i/>
          <w:sz w:val="28"/>
          <w:szCs w:val="28"/>
        </w:rPr>
      </w:pPr>
      <w:r>
        <w:rPr>
          <w:rFonts w:ascii="Times New Roman" w:eastAsia="Times New Roman" w:hAnsi="Times New Roman" w:cs="Times New Roman"/>
          <w:b/>
          <w:bCs/>
          <w:color w:val="000000"/>
          <w:sz w:val="28"/>
          <w:szCs w:val="28"/>
        </w:rPr>
        <w:t>Điều 1</w:t>
      </w:r>
      <w:r>
        <w:rPr>
          <w:rFonts w:ascii="Times New Roman" w:eastAsia="Times New Roman" w:hAnsi="Times New Roman" w:cs="Times New Roman"/>
          <w:color w:val="000000"/>
          <w:sz w:val="28"/>
          <w:szCs w:val="28"/>
        </w:rPr>
        <w:t xml:space="preserve">. </w:t>
      </w:r>
      <w:r>
        <w:rPr>
          <w:rFonts w:ascii="Times New Roman" w:hAnsi="Times New Roman" w:cs="Times New Roman"/>
          <w:b/>
          <w:spacing w:val="-4"/>
          <w:sz w:val="28"/>
          <w:szCs w:val="28"/>
        </w:rPr>
        <w:t>Bãi bỏ toàn bộ các Quyết định sau đây của UBND xã</w:t>
      </w:r>
    </w:p>
    <w:p>
      <w:pPr>
        <w:spacing w:before="0" w:line="340" w:lineRule="exact"/>
        <w:jc w:val="both"/>
        <w:rPr>
          <w:rFonts w:ascii="Times New Roman" w:hAnsi="Times New Roman" w:cs="Times New Roman"/>
          <w:b/>
          <w:bCs/>
          <w:i/>
          <w:sz w:val="28"/>
          <w:szCs w:val="28"/>
        </w:rPr>
      </w:pPr>
      <w:r>
        <w:rPr>
          <w:rFonts w:ascii="Times New Roman" w:hAnsi="Times New Roman" w:cs="Times New Roman"/>
          <w:spacing w:val="-4"/>
          <w:sz w:val="28"/>
          <w:szCs w:val="28"/>
        </w:rPr>
        <w:t xml:space="preserve">1. Quyết định 01/2025/QĐ-UBND ngày 08/8/2025 ban hành quy chế làm việc của Ủy ban nhân dân xã Hương Phố, nhiệm kỳ 2021-2026. </w:t>
      </w:r>
    </w:p>
    <w:p>
      <w:pPr>
        <w:spacing w:before="0" w:line="340" w:lineRule="exact"/>
        <w:jc w:val="both"/>
        <w:rPr>
          <w:rFonts w:ascii="Times New Roman" w:hAnsi="Times New Roman" w:cs="Times New Roman"/>
          <w:b/>
          <w:bCs/>
          <w:i/>
          <w:sz w:val="28"/>
          <w:szCs w:val="28"/>
        </w:rPr>
      </w:pPr>
      <w:r>
        <w:rPr>
          <w:rFonts w:ascii="Times New Roman" w:hAnsi="Times New Roman" w:cs="Times New Roman"/>
          <w:spacing w:val="-4"/>
          <w:sz w:val="28"/>
          <w:szCs w:val="28"/>
        </w:rPr>
        <w:lastRenderedPageBreak/>
        <w:t xml:space="preserve">2. Quyết định 02/2025/QĐ-UBND ngày 08/8/2025 ban hành quy định chức năng, nhiệm vụ, quyền hạn và cơ cấu tổ chức của Văn phòng Hội đồng nhân dân và Ủy ban nhân dân xã. </w:t>
      </w:r>
    </w:p>
    <w:p>
      <w:pPr>
        <w:spacing w:before="0" w:line="340" w:lineRule="exact"/>
        <w:jc w:val="both"/>
        <w:rPr>
          <w:rFonts w:ascii="Times New Roman" w:hAnsi="Times New Roman" w:cs="Times New Roman"/>
          <w:b/>
          <w:bCs/>
          <w:i/>
          <w:sz w:val="28"/>
          <w:szCs w:val="28"/>
        </w:rPr>
      </w:pPr>
      <w:r>
        <w:rPr>
          <w:rFonts w:ascii="Times New Roman" w:hAnsi="Times New Roman" w:cs="Times New Roman"/>
          <w:spacing w:val="-4"/>
          <w:sz w:val="28"/>
          <w:szCs w:val="28"/>
        </w:rPr>
        <w:t xml:space="preserve">3. Quyết định 03/2025/QĐ-UBND ngày 08/8/2025 ban hành quy định chức năng, nhiệm vụ, quyền hạn và cơ cấu tổ chức của Trung tâm Hành chính công. </w:t>
      </w:r>
    </w:p>
    <w:p>
      <w:pPr>
        <w:spacing w:before="0" w:line="340" w:lineRule="exact"/>
        <w:jc w:val="both"/>
        <w:rPr>
          <w:rFonts w:ascii="Times New Roman" w:hAnsi="Times New Roman" w:cs="Times New Roman"/>
          <w:b/>
          <w:bCs/>
          <w:i/>
          <w:sz w:val="28"/>
          <w:szCs w:val="28"/>
        </w:rPr>
      </w:pPr>
      <w:r>
        <w:rPr>
          <w:rFonts w:ascii="Times New Roman" w:hAnsi="Times New Roman" w:cs="Times New Roman"/>
          <w:spacing w:val="-4"/>
          <w:sz w:val="28"/>
          <w:szCs w:val="28"/>
        </w:rPr>
        <w:t>4. Quyết định 04/2025/QĐ-UBND ngày 08/8/2025 ban hành quy định chức năng, nhiệm vụ, quyền hạn và cơ cấu tổ chức của Phòng Văn hóa – Xã hội.</w:t>
      </w:r>
    </w:p>
    <w:p>
      <w:pPr>
        <w:spacing w:before="0" w:line="340" w:lineRule="exact"/>
        <w:jc w:val="both"/>
        <w:rPr>
          <w:rFonts w:ascii="Times New Roman" w:hAnsi="Times New Roman" w:cs="Times New Roman"/>
          <w:b/>
          <w:bCs/>
          <w:i/>
          <w:sz w:val="28"/>
          <w:szCs w:val="28"/>
        </w:rPr>
      </w:pPr>
      <w:r>
        <w:rPr>
          <w:rFonts w:ascii="Times New Roman" w:hAnsi="Times New Roman" w:cs="Times New Roman"/>
          <w:spacing w:val="-4"/>
          <w:sz w:val="28"/>
          <w:szCs w:val="28"/>
        </w:rPr>
        <w:t>5. Quyết định 05/2025/QĐ-UBND ngày 08/8/2025 ban hành quy định chức năng, nhiệm vụ, quyền hạn và cơ cấu tổ chức của Phòng Kinh tế.</w:t>
      </w:r>
    </w:p>
    <w:p>
      <w:pPr>
        <w:spacing w:before="0" w:line="340" w:lineRule="exact"/>
        <w:jc w:val="both"/>
        <w:rPr>
          <w:rFonts w:ascii="Times New Roman" w:hAnsi="Times New Roman" w:cs="Times New Roman"/>
          <w:b/>
          <w:bCs/>
          <w:i/>
          <w:sz w:val="28"/>
          <w:szCs w:val="28"/>
        </w:rPr>
      </w:pPr>
      <w:r>
        <w:rPr>
          <w:rFonts w:ascii="Times New Roman" w:eastAsia="Times New Roman" w:hAnsi="Times New Roman" w:cs="Times New Roman"/>
          <w:b/>
          <w:bCs/>
          <w:color w:val="000000"/>
          <w:sz w:val="28"/>
          <w:szCs w:val="28"/>
        </w:rPr>
        <w:t>Điều 2</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Điều khoản thi hành</w:t>
      </w:r>
    </w:p>
    <w:p>
      <w:pPr>
        <w:spacing w:before="0" w:line="340" w:lineRule="exact"/>
        <w:jc w:val="both"/>
        <w:rPr>
          <w:rFonts w:ascii="Times New Roman" w:hAnsi="Times New Roman" w:cs="Times New Roman"/>
          <w:b/>
          <w:bCs/>
          <w:i/>
          <w:sz w:val="28"/>
          <w:szCs w:val="28"/>
        </w:rPr>
      </w:pPr>
      <w:r>
        <w:rPr>
          <w:rFonts w:ascii="Times New Roman" w:eastAsia="Times New Roman" w:hAnsi="Times New Roman" w:cs="Times New Roman"/>
          <w:color w:val="000000"/>
          <w:sz w:val="28"/>
          <w:szCs w:val="28"/>
        </w:rPr>
        <w:t xml:space="preserve">1. </w:t>
      </w:r>
      <w:r>
        <w:rPr>
          <w:rFonts w:ascii="Times New Roman" w:hAnsi="Times New Roman" w:cs="Times New Roman"/>
          <w:sz w:val="28"/>
          <w:szCs w:val="28"/>
          <w:lang w:val="nl-NL"/>
        </w:rPr>
        <w:t xml:space="preserve">Quyết định này có hiệu lực kể từ ngày 01 tháng 11 năm 2026. </w:t>
      </w:r>
    </w:p>
    <w:p>
      <w:pPr>
        <w:spacing w:before="0" w:line="340" w:lineRule="exact"/>
        <w:jc w:val="both"/>
        <w:rPr>
          <w:rFonts w:ascii="Times New Roman" w:hAnsi="Times New Roman" w:cs="Times New Roman"/>
          <w:b/>
          <w:bCs/>
          <w:i/>
          <w:sz w:val="28"/>
          <w:szCs w:val="28"/>
        </w:rPr>
      </w:pPr>
      <w:r>
        <w:rPr>
          <w:rFonts w:ascii="Times New Roman" w:eastAsia="Times New Roman" w:hAnsi="Times New Roman" w:cs="Times New Roman"/>
          <w:color w:val="000000"/>
          <w:sz w:val="28"/>
          <w:szCs w:val="28"/>
        </w:rPr>
        <w:t xml:space="preserve">2. </w:t>
      </w:r>
      <w:r>
        <w:rPr>
          <w:rFonts w:ascii="Times New Roman" w:hAnsi="Times New Roman" w:cs="Times New Roman"/>
          <w:color w:val="000000"/>
          <w:sz w:val="28"/>
          <w:szCs w:val="28"/>
          <w:lang w:val="nl-NL"/>
        </w:rPr>
        <w:t xml:space="preserve">Chánh Văn phòng HĐND và UBND; </w:t>
      </w:r>
      <w:r>
        <w:rPr>
          <w:rFonts w:ascii="Times New Roman" w:hAnsi="Times New Roman" w:cs="Times New Roman"/>
          <w:color w:val="000000"/>
          <w:sz w:val="28"/>
          <w:szCs w:val="28"/>
        </w:rPr>
        <w:t>Trưởng các phòng: Văn hóa - Xã hội, Kinh tế; Giám đốc Trung tâm phục vụ hành chính công</w:t>
      </w:r>
      <w:r>
        <w:rPr>
          <w:rFonts w:ascii="Times New Roman" w:hAnsi="Times New Roman" w:cs="Times New Roman"/>
          <w:sz w:val="28"/>
          <w:szCs w:val="28"/>
        </w:rPr>
        <w:t xml:space="preserve">; </w:t>
      </w:r>
      <w:r>
        <w:rPr>
          <w:rFonts w:ascii="Times New Roman" w:hAnsi="Times New Roman" w:cs="Times New Roman"/>
          <w:color w:val="000000"/>
          <w:sz w:val="28"/>
          <w:szCs w:val="28"/>
          <w:lang w:val="nl-NL"/>
        </w:rPr>
        <w:t>Thủ trưởng các cơ quan, đơn vị có liên quan chịu trách nhiệm thi hành Quyết định này./.</w:t>
      </w:r>
    </w:p>
    <w:tbl>
      <w:tblPr>
        <w:tblW w:w="0" w:type="auto"/>
        <w:tblLook w:val="04A0" w:firstRow="1" w:lastRow="0" w:firstColumn="1" w:lastColumn="0" w:noHBand="0" w:noVBand="1"/>
      </w:tblPr>
      <w:tblGrid>
        <w:gridCol w:w="4165"/>
        <w:gridCol w:w="4907"/>
      </w:tblGrid>
      <w:tr>
        <w:tc>
          <w:tcPr>
            <w:tcW w:w="4361" w:type="dxa"/>
          </w:tcPr>
          <w:p>
            <w:pPr>
              <w:spacing w:before="0" w:after="0" w:line="240" w:lineRule="auto"/>
              <w:ind w:firstLine="0"/>
              <w:jc w:val="both"/>
              <w:rPr>
                <w:rFonts w:ascii="Times New Roman" w:hAnsi="Times New Roman"/>
                <w:sz w:val="24"/>
                <w:szCs w:val="24"/>
                <w:lang w:val="nl-NL"/>
              </w:rPr>
            </w:pPr>
            <w:r>
              <w:rPr>
                <w:rFonts w:ascii="Times New Roman" w:hAnsi="Times New Roman"/>
                <w:b/>
                <w:i/>
                <w:sz w:val="24"/>
                <w:szCs w:val="24"/>
                <w:lang w:val="nl-NL"/>
              </w:rPr>
              <w:t>Nơi nhận:</w:t>
            </w:r>
            <w:r>
              <w:rPr>
                <w:rFonts w:ascii="Times New Roman" w:hAnsi="Times New Roman"/>
                <w:sz w:val="24"/>
                <w:szCs w:val="24"/>
                <w:lang w:val="nl-NL"/>
              </w:rPr>
              <w:t xml:space="preserve">                                       </w:t>
            </w:r>
          </w:p>
          <w:p>
            <w:pPr>
              <w:pStyle w:val="BodyTextIndent"/>
              <w:spacing w:before="0"/>
              <w:ind w:firstLine="0"/>
              <w:rPr>
                <w:rFonts w:ascii="Times New Roman" w:hAnsi="Times New Roman"/>
                <w:sz w:val="22"/>
                <w:szCs w:val="22"/>
                <w:lang w:val="nl-NL" w:eastAsia="en-US"/>
              </w:rPr>
            </w:pPr>
            <w:r>
              <w:rPr>
                <w:rFonts w:ascii="Times New Roman" w:hAnsi="Times New Roman"/>
                <w:sz w:val="22"/>
                <w:szCs w:val="22"/>
                <w:lang w:val="nl-NL" w:eastAsia="en-US"/>
              </w:rPr>
              <w:t xml:space="preserve">- Như Điều 2; </w:t>
            </w:r>
          </w:p>
          <w:p>
            <w:pPr>
              <w:pStyle w:val="BodyTextIndent"/>
              <w:spacing w:before="0"/>
              <w:ind w:firstLine="0"/>
              <w:rPr>
                <w:rFonts w:ascii="Times New Roman" w:hAnsi="Times New Roman"/>
                <w:sz w:val="22"/>
                <w:szCs w:val="22"/>
                <w:lang w:val="nl-NL" w:eastAsia="en-US"/>
              </w:rPr>
            </w:pPr>
            <w:r>
              <w:rPr>
                <w:rFonts w:ascii="Times New Roman" w:hAnsi="Times New Roman"/>
                <w:sz w:val="22"/>
                <w:szCs w:val="22"/>
                <w:lang w:val="nl-NL" w:eastAsia="en-US"/>
              </w:rPr>
              <w:t xml:space="preserve">- UBND tỉnh; </w:t>
            </w:r>
          </w:p>
          <w:p>
            <w:pPr>
              <w:pStyle w:val="BodyTextIndent"/>
              <w:spacing w:before="0"/>
              <w:ind w:firstLine="0"/>
              <w:rPr>
                <w:rFonts w:ascii="Times New Roman" w:hAnsi="Times New Roman"/>
                <w:sz w:val="22"/>
                <w:szCs w:val="22"/>
                <w:lang w:val="nl-NL" w:eastAsia="en-US"/>
              </w:rPr>
            </w:pPr>
            <w:r>
              <w:rPr>
                <w:rFonts w:ascii="Times New Roman" w:hAnsi="Times New Roman"/>
                <w:sz w:val="22"/>
                <w:szCs w:val="22"/>
                <w:lang w:val="nl-NL" w:eastAsia="en-US"/>
              </w:rPr>
              <w:t xml:space="preserve">- Sở Tư pháp; </w:t>
            </w:r>
          </w:p>
          <w:p>
            <w:pPr>
              <w:pStyle w:val="BodyTextIndent"/>
              <w:spacing w:before="0"/>
              <w:ind w:firstLine="0"/>
              <w:rPr>
                <w:rFonts w:ascii="Times New Roman" w:hAnsi="Times New Roman"/>
                <w:sz w:val="22"/>
                <w:szCs w:val="22"/>
                <w:lang w:val="nl-NL" w:eastAsia="en-US"/>
              </w:rPr>
            </w:pPr>
            <w:r>
              <w:rPr>
                <w:rFonts w:ascii="Times New Roman" w:hAnsi="Times New Roman"/>
                <w:sz w:val="22"/>
                <w:szCs w:val="22"/>
                <w:lang w:val="nl-NL" w:eastAsia="en-US"/>
              </w:rPr>
              <w:t xml:space="preserve">- Thường trực Đảng ủy; </w:t>
            </w:r>
          </w:p>
          <w:p>
            <w:pPr>
              <w:pStyle w:val="BodyTextIndent"/>
              <w:spacing w:before="0"/>
              <w:ind w:firstLine="0"/>
              <w:rPr>
                <w:rFonts w:ascii="Times New Roman" w:hAnsi="Times New Roman"/>
                <w:sz w:val="22"/>
                <w:szCs w:val="22"/>
                <w:lang w:val="nl-NL" w:eastAsia="en-US"/>
              </w:rPr>
            </w:pPr>
            <w:r>
              <w:rPr>
                <w:rFonts w:ascii="Times New Roman" w:hAnsi="Times New Roman"/>
                <w:sz w:val="22"/>
                <w:szCs w:val="22"/>
                <w:lang w:val="nl-NL" w:eastAsia="en-US"/>
              </w:rPr>
              <w:t xml:space="preserve">- Thường trực HĐND xã; </w:t>
            </w:r>
          </w:p>
          <w:p>
            <w:pPr>
              <w:pStyle w:val="BodyTextIndent"/>
              <w:spacing w:before="0"/>
              <w:ind w:firstLine="0"/>
              <w:rPr>
                <w:rFonts w:ascii="Times New Roman" w:hAnsi="Times New Roman"/>
                <w:sz w:val="22"/>
                <w:szCs w:val="22"/>
                <w:lang w:val="nl-NL" w:eastAsia="en-US"/>
              </w:rPr>
            </w:pPr>
            <w:r>
              <w:rPr>
                <w:rFonts w:ascii="Times New Roman" w:hAnsi="Times New Roman"/>
                <w:sz w:val="22"/>
                <w:szCs w:val="22"/>
                <w:lang w:val="nl-NL" w:eastAsia="en-US"/>
              </w:rPr>
              <w:t xml:space="preserve">- Chủ tịch, các Phó Chủ tịch UBND xã; </w:t>
            </w:r>
          </w:p>
          <w:p>
            <w:pPr>
              <w:pStyle w:val="BodyTextIndent"/>
              <w:spacing w:before="0"/>
              <w:ind w:firstLine="0"/>
              <w:rPr>
                <w:rFonts w:ascii="Times New Roman" w:hAnsi="Times New Roman"/>
                <w:sz w:val="22"/>
                <w:szCs w:val="22"/>
                <w:lang w:val="nl-NL" w:eastAsia="en-US"/>
              </w:rPr>
            </w:pPr>
            <w:r>
              <w:rPr>
                <w:rFonts w:ascii="Times New Roman" w:hAnsi="Times New Roman"/>
                <w:sz w:val="22"/>
                <w:szCs w:val="22"/>
                <w:lang w:val="nl-NL" w:eastAsia="en-US"/>
              </w:rPr>
              <w:t xml:space="preserve">- Trang thông tin điện tử xã; </w:t>
            </w:r>
          </w:p>
          <w:p>
            <w:pPr>
              <w:pStyle w:val="BodyTextIndent"/>
              <w:spacing w:before="0"/>
              <w:ind w:firstLine="0"/>
              <w:rPr>
                <w:rFonts w:ascii="Times New Roman" w:hAnsi="Times New Roman"/>
                <w:sz w:val="22"/>
                <w:szCs w:val="22"/>
                <w:lang w:val="en-US" w:eastAsia="en-US"/>
              </w:rPr>
            </w:pPr>
            <w:r>
              <w:rPr>
                <w:rFonts w:ascii="Times New Roman" w:hAnsi="Times New Roman"/>
                <w:sz w:val="22"/>
                <w:szCs w:val="22"/>
                <w:lang w:val="en-US" w:eastAsia="en-US"/>
              </w:rPr>
              <w:t>- Lưu: VT, VP</w:t>
            </w:r>
            <w:r>
              <w:rPr>
                <w:rFonts w:ascii="Times New Roman" w:hAnsi="Times New Roman"/>
                <w:sz w:val="22"/>
                <w:szCs w:val="22"/>
                <w:vertAlign w:val="subscript"/>
                <w:lang w:val="en-US" w:eastAsia="en-US"/>
              </w:rPr>
              <w:t xml:space="preserve">, </w:t>
            </w:r>
            <w:r>
              <w:rPr>
                <w:rFonts w:ascii="Times New Roman" w:hAnsi="Times New Roman"/>
                <w:sz w:val="22"/>
                <w:szCs w:val="22"/>
                <w:lang w:val="en-US" w:eastAsia="en-US"/>
              </w:rPr>
              <w:t>1b.</w:t>
            </w:r>
          </w:p>
          <w:p>
            <w:pPr>
              <w:pStyle w:val="BodyTextIndent"/>
              <w:spacing w:before="0"/>
              <w:ind w:firstLine="0"/>
              <w:rPr>
                <w:rFonts w:ascii="Times New Roman" w:hAnsi="Times New Roman"/>
                <w:szCs w:val="28"/>
                <w:lang w:val="en-US" w:eastAsia="en-US"/>
              </w:rPr>
            </w:pPr>
          </w:p>
        </w:tc>
        <w:tc>
          <w:tcPr>
            <w:tcW w:w="5100" w:type="dxa"/>
          </w:tcPr>
          <w:p>
            <w:pPr>
              <w:spacing w:before="0" w:after="0" w:line="240" w:lineRule="auto"/>
              <w:rPr>
                <w:rFonts w:ascii="Times New Roman" w:hAnsi="Times New Roman"/>
                <w:b/>
                <w:sz w:val="28"/>
                <w:szCs w:val="28"/>
              </w:rPr>
            </w:pPr>
            <w:r>
              <w:rPr>
                <w:rFonts w:ascii="Times New Roman" w:hAnsi="Times New Roman"/>
                <w:b/>
                <w:sz w:val="28"/>
                <w:szCs w:val="28"/>
              </w:rPr>
              <w:t>TM.ỦY BAN NHÂN DÂN</w:t>
            </w:r>
          </w:p>
          <w:p>
            <w:pPr>
              <w:spacing w:before="0" w:after="0" w:line="240" w:lineRule="auto"/>
              <w:rPr>
                <w:rFonts w:ascii="Times New Roman" w:hAnsi="Times New Roman"/>
                <w:i/>
                <w:sz w:val="28"/>
                <w:szCs w:val="28"/>
              </w:rPr>
            </w:pPr>
            <w:r>
              <w:rPr>
                <w:rFonts w:ascii="Times New Roman" w:hAnsi="Times New Roman"/>
                <w:b/>
                <w:sz w:val="28"/>
                <w:szCs w:val="28"/>
              </w:rPr>
              <w:t>CHỦ TỊCH</w:t>
            </w:r>
          </w:p>
          <w:p>
            <w:pPr>
              <w:spacing w:before="0" w:after="0" w:line="240" w:lineRule="auto"/>
              <w:rPr>
                <w:rFonts w:ascii="Times New Roman" w:hAnsi="Times New Roman"/>
                <w:i/>
                <w:sz w:val="28"/>
                <w:szCs w:val="28"/>
              </w:rPr>
            </w:pPr>
          </w:p>
          <w:p>
            <w:pPr>
              <w:spacing w:before="0" w:after="0" w:line="240" w:lineRule="auto"/>
              <w:rPr>
                <w:rFonts w:ascii="Times New Roman" w:hAnsi="Times New Roman"/>
                <w:i/>
                <w:sz w:val="28"/>
                <w:szCs w:val="28"/>
              </w:rPr>
            </w:pPr>
          </w:p>
          <w:p>
            <w:pPr>
              <w:spacing w:before="0" w:after="0" w:line="240" w:lineRule="auto"/>
              <w:ind w:firstLine="0"/>
              <w:rPr>
                <w:rFonts w:ascii="Times New Roman" w:hAnsi="Times New Roman"/>
                <w:i/>
                <w:sz w:val="28"/>
                <w:szCs w:val="28"/>
              </w:rPr>
            </w:pPr>
          </w:p>
          <w:p>
            <w:pPr>
              <w:spacing w:before="0" w:after="0" w:line="240" w:lineRule="auto"/>
              <w:rPr>
                <w:rFonts w:ascii="Times New Roman" w:hAnsi="Times New Roman"/>
                <w:i/>
                <w:sz w:val="28"/>
                <w:szCs w:val="28"/>
              </w:rPr>
            </w:pPr>
          </w:p>
          <w:p>
            <w:pPr>
              <w:spacing w:before="0" w:after="0" w:line="240" w:lineRule="auto"/>
              <w:rPr>
                <w:rFonts w:ascii="Times New Roman" w:hAnsi="Times New Roman"/>
                <w:i/>
                <w:sz w:val="28"/>
                <w:szCs w:val="28"/>
              </w:rPr>
            </w:pPr>
          </w:p>
          <w:p>
            <w:pPr>
              <w:spacing w:before="0" w:after="0" w:line="240" w:lineRule="auto"/>
              <w:rPr>
                <w:rFonts w:ascii="Times New Roman" w:hAnsi="Times New Roman"/>
                <w:b/>
                <w:i/>
                <w:sz w:val="28"/>
                <w:szCs w:val="28"/>
              </w:rPr>
            </w:pPr>
          </w:p>
          <w:p>
            <w:pPr>
              <w:spacing w:before="0" w:after="0" w:line="240" w:lineRule="auto"/>
              <w:rPr>
                <w:rFonts w:ascii="Times New Roman" w:hAnsi="Times New Roman"/>
                <w:b/>
                <w:sz w:val="28"/>
                <w:szCs w:val="28"/>
              </w:rPr>
            </w:pPr>
            <w:r>
              <w:rPr>
                <w:rFonts w:ascii="Times New Roman" w:hAnsi="Times New Roman"/>
                <w:b/>
                <w:sz w:val="28"/>
                <w:szCs w:val="28"/>
              </w:rPr>
              <w:t>Nguyễn Xuân Quyền</w:t>
            </w:r>
          </w:p>
          <w:p>
            <w:pPr>
              <w:spacing w:before="0" w:after="0" w:line="240" w:lineRule="auto"/>
              <w:rPr>
                <w:rFonts w:ascii="Times New Roman" w:hAnsi="Times New Roman"/>
                <w:sz w:val="28"/>
                <w:szCs w:val="28"/>
              </w:rPr>
            </w:pPr>
          </w:p>
        </w:tc>
      </w:tr>
    </w:tbl>
    <w:p>
      <w:pPr>
        <w:spacing w:line="240" w:lineRule="auto"/>
        <w:ind w:firstLine="0"/>
        <w:jc w:val="both"/>
        <w:rPr>
          <w:rFonts w:ascii="Times New Roman" w:hAnsi="Times New Roman" w:cs="Times New Roman"/>
          <w:sz w:val="28"/>
          <w:szCs w:val="28"/>
        </w:rPr>
      </w:pPr>
    </w:p>
    <w:p>
      <w:pPr>
        <w:ind w:firstLine="0"/>
        <w:jc w:val="both"/>
      </w:pPr>
    </w:p>
    <w:sectPr>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before="0" w:after="0" w:line="240" w:lineRule="auto"/>
      </w:pPr>
      <w:r>
        <w:separator/>
      </w:r>
    </w:p>
  </w:endnote>
  <w:endnote w:type="continuationSeparator" w:id="0">
    <w:p>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before="0" w:after="0" w:line="240" w:lineRule="auto"/>
      </w:pPr>
      <w:r>
        <w:separator/>
      </w:r>
    </w:p>
  </w:footnote>
  <w:footnote w:type="continuationSeparator" w:id="0">
    <w:p>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499731"/>
      <w:docPartObj>
        <w:docPartGallery w:val="Page Numbers (Top of Page)"/>
        <w:docPartUnique/>
      </w:docPartObj>
    </w:sdtPr>
    <w:sdtEndPr>
      <w:rPr>
        <w:noProof/>
      </w:rPr>
    </w:sdtEndPr>
    <w:sdtContent>
      <w:p>
        <w:pPr>
          <w:pStyle w:val="Header"/>
        </w:pPr>
        <w:r>
          <w:fldChar w:fldCharType="begin"/>
        </w:r>
        <w:r>
          <w:instrText xml:space="preserve"> PAGE   \* MERGEFORMAT </w:instrText>
        </w:r>
        <w:r>
          <w:fldChar w:fldCharType="separate"/>
        </w:r>
        <w:r>
          <w:rPr>
            <w:noProof/>
          </w:rPr>
          <w:t>2</w:t>
        </w:r>
        <w:r>
          <w:rPr>
            <w:noProof/>
          </w:rPr>
          <w:fldChar w:fldCharType="end"/>
        </w:r>
      </w:p>
    </w:sdtContent>
  </w:sdt>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drawingGridHorizontalSpacing w:val="11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17B434-541F-45D1-920D-F33523C75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312" w:lineRule="auto"/>
      <w:ind w:firstLine="567"/>
      <w:jc w:val="center"/>
    </w:pPr>
    <w:rPr>
      <w:kern w:val="0"/>
      <w14:ligatures w14:val="none"/>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ind w:firstLine="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BodyTextIndent">
    <w:name w:val="Body Text Indent"/>
    <w:basedOn w:val="Normal"/>
    <w:link w:val="BodyTextIndentChar1"/>
    <w:unhideWhenUsed/>
    <w:pPr>
      <w:spacing w:after="0" w:line="240" w:lineRule="auto"/>
      <w:ind w:firstLine="540"/>
      <w:jc w:val="both"/>
    </w:pPr>
    <w:rPr>
      <w:rFonts w:ascii=".VnTime" w:eastAsia="Times New Roman" w:hAnsi=".VnTime" w:cs="Times New Roman"/>
      <w:sz w:val="28"/>
      <w:szCs w:val="24"/>
      <w:lang w:val="x-none" w:eastAsia="x-none"/>
    </w:rPr>
  </w:style>
  <w:style w:type="character" w:customStyle="1" w:styleId="BodyTextIndentChar">
    <w:name w:val="Body Text Indent Char"/>
    <w:basedOn w:val="DefaultParagraphFont"/>
    <w:uiPriority w:val="99"/>
    <w:semiHidden/>
    <w:rPr>
      <w:kern w:val="0"/>
      <w14:ligatures w14:val="none"/>
    </w:rPr>
  </w:style>
  <w:style w:type="character" w:customStyle="1" w:styleId="BodyTextIndentChar1">
    <w:name w:val="Body Text Indent Char1"/>
    <w:link w:val="BodyTextIndent"/>
    <w:locked/>
    <w:rPr>
      <w:rFonts w:ascii=".VnTime" w:eastAsia="Times New Roman" w:hAnsi=".VnTime" w:cs="Times New Roman"/>
      <w:kern w:val="0"/>
      <w:sz w:val="28"/>
      <w:szCs w:val="24"/>
      <w:lang w:val="x-none" w:eastAsia="x-none"/>
      <w14:ligatures w14:val="non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rPr>
      <w:kern w:val="0"/>
      <w14:ligatures w14:val="none"/>
    </w:rPr>
  </w:style>
  <w:style w:type="paragraph" w:styleId="Footer">
    <w:name w:val="footer"/>
    <w:basedOn w:val="Normal"/>
    <w:link w:val="FooterChar"/>
    <w:uiPriority w:val="99"/>
    <w:unhideWhenUsed/>
    <w:pPr>
      <w:tabs>
        <w:tab w:val="center" w:pos="4680"/>
        <w:tab w:val="right" w:pos="9360"/>
      </w:tabs>
      <w:spacing w:before="0" w:after="0" w:line="240" w:lineRule="auto"/>
    </w:pPr>
  </w:style>
  <w:style w:type="character" w:customStyle="1" w:styleId="FooterChar">
    <w:name w:val="Footer Char"/>
    <w:basedOn w:val="DefaultParagraphFont"/>
    <w:link w:val="Footer"/>
    <w:uiPriority w:val="99"/>
    <w:rPr>
      <w:kern w:val="0"/>
      <w14:ligatures w14:val="none"/>
    </w:rPr>
  </w:style>
  <w:style w:type="paragraph" w:styleId="BalloonText">
    <w:name w:val="Balloon Text"/>
    <w:basedOn w:val="Normal"/>
    <w:link w:val="BalloonTextChar"/>
    <w:uiPriority w:val="99"/>
    <w:semiHidden/>
    <w:unhideWhenUse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0"/>
      <w:sz w:val="18"/>
      <w:szCs w:val="18"/>
      <w14:ligatures w14:val="none"/>
    </w:rPr>
  </w:style>
  <w:style w:type="character" w:customStyle="1" w:styleId="fontstyle01">
    <w:name w:val="fontstyle01"/>
    <w:basedOn w:val="DefaultParagraphFont"/>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2637">
      <w:bodyDiv w:val="1"/>
      <w:marLeft w:val="0"/>
      <w:marRight w:val="0"/>
      <w:marTop w:val="0"/>
      <w:marBottom w:val="0"/>
      <w:divBdr>
        <w:top w:val="none" w:sz="0" w:space="0" w:color="auto"/>
        <w:left w:val="none" w:sz="0" w:space="0" w:color="auto"/>
        <w:bottom w:val="none" w:sz="0" w:space="0" w:color="auto"/>
        <w:right w:val="none" w:sz="0" w:space="0" w:color="auto"/>
      </w:divBdr>
    </w:div>
    <w:div w:id="184029111">
      <w:bodyDiv w:val="1"/>
      <w:marLeft w:val="0"/>
      <w:marRight w:val="0"/>
      <w:marTop w:val="0"/>
      <w:marBottom w:val="0"/>
      <w:divBdr>
        <w:top w:val="none" w:sz="0" w:space="0" w:color="auto"/>
        <w:left w:val="none" w:sz="0" w:space="0" w:color="auto"/>
        <w:bottom w:val="none" w:sz="0" w:space="0" w:color="auto"/>
        <w:right w:val="none" w:sz="0" w:space="0" w:color="auto"/>
      </w:divBdr>
    </w:div>
    <w:div w:id="291132399">
      <w:bodyDiv w:val="1"/>
      <w:marLeft w:val="0"/>
      <w:marRight w:val="0"/>
      <w:marTop w:val="0"/>
      <w:marBottom w:val="0"/>
      <w:divBdr>
        <w:top w:val="none" w:sz="0" w:space="0" w:color="auto"/>
        <w:left w:val="none" w:sz="0" w:space="0" w:color="auto"/>
        <w:bottom w:val="none" w:sz="0" w:space="0" w:color="auto"/>
        <w:right w:val="none" w:sz="0" w:space="0" w:color="auto"/>
      </w:divBdr>
    </w:div>
    <w:div w:id="1217622890">
      <w:bodyDiv w:val="1"/>
      <w:marLeft w:val="0"/>
      <w:marRight w:val="0"/>
      <w:marTop w:val="0"/>
      <w:marBottom w:val="0"/>
      <w:divBdr>
        <w:top w:val="none" w:sz="0" w:space="0" w:color="auto"/>
        <w:left w:val="none" w:sz="0" w:space="0" w:color="auto"/>
        <w:bottom w:val="none" w:sz="0" w:space="0" w:color="auto"/>
        <w:right w:val="none" w:sz="0" w:space="0" w:color="auto"/>
      </w:divBdr>
    </w:div>
    <w:div w:id="167838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56C4-85D1-41EE-B5B0-6E8946D24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2</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dc:creator>
  <cp:keywords/>
  <dc:description/>
  <cp:lastModifiedBy>VX</cp:lastModifiedBy>
  <cp:revision>203</cp:revision>
  <cp:lastPrinted>2025-09-15T02:29:00Z</cp:lastPrinted>
  <dcterms:created xsi:type="dcterms:W3CDTF">2025-10-07T08:36:00Z</dcterms:created>
  <dcterms:modified xsi:type="dcterms:W3CDTF">2026-10-13T06:41:00Z</dcterms:modified>
</cp:coreProperties>
</file>